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FA8D6C2" w:rsidR="00463675" w:rsidRPr="00C33343" w:rsidRDefault="004F1B7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F1B7A">
        <w:rPr>
          <w:rFonts w:ascii="Arial" w:hAnsi="Arial" w:cs="Arial"/>
          <w:b/>
          <w:bCs/>
          <w:sz w:val="24"/>
          <w:szCs w:val="24"/>
        </w:rPr>
        <w:t>3GPP TSG-</w:t>
      </w:r>
      <w:r w:rsidRPr="004F1B7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4F1B7A">
        <w:rPr>
          <w:rFonts w:ascii="Arial" w:hAnsi="Arial" w:cs="Arial"/>
          <w:b/>
          <w:bCs/>
          <w:sz w:val="24"/>
          <w:szCs w:val="24"/>
        </w:rPr>
        <w:instrText>DOCPROPERTY  TSG/WGRef  \* MERGEFORMAT</w:instrText>
      </w:r>
      <w:r w:rsidRPr="004F1B7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4F1B7A">
        <w:rPr>
          <w:rFonts w:ascii="Arial" w:hAnsi="Arial" w:cs="Arial"/>
          <w:b/>
          <w:bCs/>
          <w:sz w:val="24"/>
          <w:szCs w:val="24"/>
        </w:rPr>
        <w:t>SA2</w:t>
      </w:r>
      <w:r w:rsidRPr="004F1B7A">
        <w:rPr>
          <w:rFonts w:ascii="Arial" w:hAnsi="Arial" w:cs="Arial"/>
          <w:b/>
          <w:bCs/>
          <w:sz w:val="24"/>
          <w:szCs w:val="24"/>
        </w:rPr>
        <w:fldChar w:fldCharType="end"/>
      </w:r>
      <w:r w:rsidRPr="004F1B7A">
        <w:rPr>
          <w:rFonts w:ascii="Arial" w:hAnsi="Arial" w:cs="Arial"/>
          <w:b/>
          <w:bCs/>
          <w:sz w:val="24"/>
          <w:szCs w:val="24"/>
        </w:rPr>
        <w:t xml:space="preserve"> Meeting #167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F1B7A">
        <w:rPr>
          <w:rFonts w:ascii="Arial" w:hAnsi="Arial" w:cs="Arial"/>
          <w:b/>
          <w:bCs/>
          <w:sz w:val="24"/>
          <w:szCs w:val="24"/>
        </w:rPr>
        <w:t>S2-2501521</w:t>
      </w:r>
    </w:p>
    <w:p w14:paraId="3E6B4129" w14:textId="04C80269" w:rsidR="00463675" w:rsidRPr="000F4E43" w:rsidRDefault="004F1B7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F1B7A">
        <w:rPr>
          <w:rFonts w:ascii="Arial" w:hAnsi="Arial" w:cs="Arial"/>
          <w:b/>
          <w:bCs/>
          <w:sz w:val="24"/>
          <w:szCs w:val="24"/>
        </w:rPr>
        <w:t>Athens, Greece</w:t>
      </w:r>
      <w:r w:rsidRPr="004F1B7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4F1B7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4F1B7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4F1B7A">
        <w:rPr>
          <w:rFonts w:ascii="Arial" w:hAnsi="Arial" w:cs="Arial"/>
          <w:b/>
          <w:bCs/>
          <w:sz w:val="24"/>
          <w:szCs w:val="24"/>
        </w:rPr>
        <w:fldChar w:fldCharType="end"/>
      </w:r>
      <w:r w:rsidRPr="004F1B7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4F1B7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4F1B7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4F1B7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4F1B7A">
        <w:rPr>
          <w:rFonts w:ascii="Arial" w:hAnsi="Arial" w:cs="Arial"/>
          <w:b/>
          <w:bCs/>
          <w:sz w:val="24"/>
          <w:szCs w:val="24"/>
        </w:rPr>
        <w:t>17th Feb 2025</w:t>
      </w:r>
      <w:r w:rsidRPr="004F1B7A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noProof/>
          <w:sz w:val="24"/>
        </w:rPr>
        <w:t xml:space="preserve"> </w:t>
      </w:r>
      <w:r w:rsidRPr="004F1B7A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4F1B7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4F1B7A">
        <w:rPr>
          <w:rFonts w:ascii="Arial" w:hAnsi="Arial" w:cs="Arial"/>
          <w:b/>
          <w:bCs/>
          <w:sz w:val="24"/>
          <w:szCs w:val="24"/>
        </w:rPr>
        <w:instrText>DOCPROPERTY  EndDate  \* MERGEFORMAT</w:instrText>
      </w:r>
      <w:r w:rsidRPr="004F1B7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4F1B7A">
        <w:rPr>
          <w:rFonts w:ascii="Arial" w:hAnsi="Arial" w:cs="Arial"/>
          <w:b/>
          <w:bCs/>
          <w:sz w:val="24"/>
          <w:szCs w:val="24"/>
        </w:rPr>
        <w:t>21st Feb 2025</w:t>
      </w:r>
      <w:r w:rsidRPr="004F1B7A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D4C875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</w:t>
      </w:r>
      <w:r w:rsidR="00703B91">
        <w:rPr>
          <w:bCs w:val="0"/>
        </w:rPr>
        <w:t>RAN2</w:t>
      </w:r>
      <w:r w:rsidR="00D07B15" w:rsidRPr="00D07B15">
        <w:rPr>
          <w:bCs w:val="0"/>
        </w:rPr>
        <w:t xml:space="preserve">: </w:t>
      </w:r>
      <w:r w:rsidR="00703B91" w:rsidRPr="0062478A">
        <w:rPr>
          <w:bCs w:val="0"/>
        </w:rPr>
        <w:t>Reply LS on Satellite IDs for store-and-forward operation</w:t>
      </w:r>
    </w:p>
    <w:p w14:paraId="723DDC09" w14:textId="449DED37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703B91">
        <w:rPr>
          <w:rFonts w:eastAsia="DengXian" w:hint="eastAsia"/>
          <w:kern w:val="2"/>
          <w:sz w:val="22"/>
          <w:szCs w:val="22"/>
          <w:lang w:val="en-US" w:eastAsia="zh-CN"/>
          <w14:ligatures w14:val="standardContextual"/>
        </w:rPr>
        <w:t xml:space="preserve">LS on Satellite IDs for store-and-forward </w:t>
      </w:r>
      <w:r w:rsidR="0062478A">
        <w:rPr>
          <w:rFonts w:eastAsia="DengXian"/>
          <w:kern w:val="2"/>
          <w:sz w:val="22"/>
          <w:szCs w:val="22"/>
          <w:lang w:val="en-US" w:eastAsia="zh-CN"/>
          <w14:ligatures w14:val="standardContextual"/>
        </w:rPr>
        <w:t>operation (</w:t>
      </w:r>
      <w:r w:rsidR="004F1B7A" w:rsidRPr="004F1B7A">
        <w:rPr>
          <w:rFonts w:eastAsia="MS Mincho"/>
          <w:kern w:val="2"/>
          <w:sz w:val="22"/>
          <w:szCs w:val="22"/>
          <w:lang w:val="en-US" w:eastAsia="zh-CN"/>
        </w:rPr>
        <w:t>S2-2501368</w:t>
      </w:r>
      <w:r w:rsidR="00703B91" w:rsidRPr="004F1B7A">
        <w:rPr>
          <w:rFonts w:eastAsia="MS Mincho"/>
          <w:kern w:val="2"/>
          <w:sz w:val="22"/>
          <w:szCs w:val="22"/>
          <w:lang w:val="en-US" w:eastAsia="zh-CN"/>
        </w:rPr>
        <w:t>/</w:t>
      </w:r>
      <w:r w:rsidR="00703B91" w:rsidRPr="00753B8E">
        <w:rPr>
          <w:rFonts w:eastAsia="MS Mincho"/>
          <w:kern w:val="2"/>
          <w:sz w:val="22"/>
          <w:szCs w:val="22"/>
          <w:lang w:val="en-US" w:eastAsia="zh-CN"/>
        </w:rPr>
        <w:t>R2-2411197</w:t>
      </w:r>
      <w:r w:rsidR="00703B91">
        <w:rPr>
          <w:rFonts w:eastAsia="DengXian"/>
          <w:kern w:val="2"/>
          <w:sz w:val="22"/>
          <w:szCs w:val="22"/>
          <w:lang w:val="en-US" w:eastAsia="zh-CN"/>
          <w14:ligatures w14:val="standardContextual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69FD760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5GSAT_Ph3_ARC</w:t>
      </w:r>
      <w:r w:rsidR="00703B91">
        <w:t xml:space="preserve">, </w:t>
      </w:r>
      <w:r w:rsidR="00703B91">
        <w:rPr>
          <w:rFonts w:eastAsia="DengXian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5D885C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03B91">
        <w:rPr>
          <w:b w:val="0"/>
          <w:bCs/>
          <w:lang w:val="fr-FR"/>
        </w:rPr>
        <w:t>RAN2</w:t>
      </w:r>
    </w:p>
    <w:p w14:paraId="6E0CADF1" w14:textId="1424016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A022C83" w:rsidR="00463675" w:rsidRPr="000F4E43" w:rsidRDefault="00463675" w:rsidP="000F4E43">
      <w:pPr>
        <w:pStyle w:val="Title"/>
      </w:pPr>
      <w:r w:rsidRPr="000F4E43">
        <w:t>Attachments:</w:t>
      </w:r>
      <w:r w:rsidR="00735249" w:rsidRPr="00735249">
        <w:t xml:space="preserve"> </w:t>
      </w:r>
      <w:r w:rsidR="00735249">
        <w:t>CR</w:t>
      </w:r>
      <w:r w:rsidR="004F1B7A" w:rsidRPr="004F1B7A">
        <w:t>3867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4D71FBF" w14:textId="77777777" w:rsidR="0062478A" w:rsidRDefault="0062478A">
      <w:pPr>
        <w:rPr>
          <w:rFonts w:ascii="Arial" w:hAnsi="Arial" w:cs="Arial"/>
        </w:rPr>
      </w:pPr>
    </w:p>
    <w:p w14:paraId="389D435F" w14:textId="4F74810F" w:rsidR="00463675" w:rsidRDefault="0062478A">
      <w:pPr>
        <w:rPr>
          <w:rFonts w:ascii="Arial" w:hAnsi="Arial" w:cs="Arial"/>
        </w:rPr>
      </w:pPr>
      <w:r w:rsidRPr="00703B91">
        <w:rPr>
          <w:rFonts w:ascii="Arial" w:eastAsia="DengXian" w:hAnsi="Arial"/>
          <w:b/>
          <w:b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CE3288" wp14:editId="664BAB03">
                <wp:simplePos x="0" y="0"/>
                <wp:positionH relativeFrom="column">
                  <wp:posOffset>48260</wp:posOffset>
                </wp:positionH>
                <wp:positionV relativeFrom="paragraph">
                  <wp:posOffset>270510</wp:posOffset>
                </wp:positionV>
                <wp:extent cx="5949950" cy="1746250"/>
                <wp:effectExtent l="0" t="0" r="127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74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EC63A" w14:textId="4EB9DE98" w:rsidR="00703B91" w:rsidRDefault="00703B91" w:rsidP="00703B91">
                            <w:pPr>
                              <w:widowControl w:val="0"/>
                              <w:spacing w:after="12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RAN2 discussed how an IoT NTN UE capable of store-and-forward operation uses the MME-configured satellite ID list in the access stratum. RAN2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made the assumption that the UE configured with a satellite ID list by MME is not prevented to camp on a satellite operating in normal IoT NTN mode (i.e. with feeder-link connection</w:t>
                            </w:r>
                            <w:proofErr w:type="gramStart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), and</w:t>
                            </w:r>
                            <w:proofErr w:type="gramEnd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perform subsequent access and data/</w:t>
                            </w:r>
                            <w:proofErr w:type="spellStart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communication with that satellite.</w:t>
                            </w:r>
                          </w:p>
                          <w:p w14:paraId="05977697" w14:textId="77777777" w:rsidR="00703B91" w:rsidRDefault="00703B91" w:rsidP="00703B91">
                            <w:pPr>
                              <w:widowControl w:val="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RAN2 would like to request SA2 to provide feedback on whether the following RAN2 understanding 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eastAsia="zh-CN"/>
                                <w14:ligatures w14:val="standardContextual"/>
                              </w:rPr>
                              <w:t>can be confirmed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: </w:t>
                            </w:r>
                          </w:p>
                          <w:p w14:paraId="1EAD3854" w14:textId="77777777" w:rsidR="00703B91" w:rsidRDefault="00703B91" w:rsidP="00703B91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u w:val="single"/>
                                <w:lang w:val="en-US" w:eastAsia="zh-CN"/>
                                <w14:ligatures w14:val="standardContextual"/>
                              </w:rPr>
                              <w:t>RAN2 understanding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: 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Th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e UE configured with a satellite ID list by MME is not prevented to camp on, attempt to access to and communicate with a satellite which is not included in the MME-configured satellite list</w:t>
                            </w:r>
                            <w:r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.</w:t>
                            </w:r>
                          </w:p>
                          <w:p w14:paraId="08377608" w14:textId="05920AED" w:rsidR="00703B91" w:rsidRDefault="00703B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CE32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8pt;margin-top:21.3pt;width:468.5pt;height:13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">
                <v:textbox>
                  <w:txbxContent>
                    <w:p w14:paraId="46CEC63A" w14:textId="4EB9DE98" w:rsidR="00703B91" w:rsidRDefault="00703B91" w:rsidP="00703B91">
                      <w:pPr>
                        <w:widowControl w:val="0"/>
                        <w:spacing w:after="12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RAN2 discussed how an IoT NTN UE capable of store-and-forward operation uses the MME-configured satellite ID list in the access stratum. RAN2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 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made the assumption that the UE configured with a satellite ID list by MME is not prevented to camp on a satellite operating in normal IoT NTN mode (i.e. with feeder-link connection), and perform subsequent access and data/signalling communication with that satellite.</w:t>
                      </w:r>
                    </w:p>
                    <w:p w14:paraId="05977697" w14:textId="77777777" w:rsidR="00703B91" w:rsidRDefault="00703B91" w:rsidP="00703B91">
                      <w:pPr>
                        <w:widowControl w:val="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RAN2 would like to request SA2 to provide feedback on whether the following RAN2 understanding 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eastAsia="zh-CN"/>
                          <w14:ligatures w14:val="standardContextual"/>
                        </w:rPr>
                        <w:t>can be confirmed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: </w:t>
                      </w:r>
                    </w:p>
                    <w:p w14:paraId="1EAD3854" w14:textId="77777777" w:rsidR="00703B91" w:rsidRDefault="00703B91" w:rsidP="00703B91">
                      <w:pPr>
                        <w:widowControl w:val="0"/>
                        <w:numPr>
                          <w:ilvl w:val="0"/>
                          <w:numId w:val="19"/>
                        </w:numPr>
                        <w:spacing w:after="18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u w:val="single"/>
                          <w:lang w:val="en-US" w:eastAsia="zh-CN"/>
                          <w14:ligatures w14:val="standardContextual"/>
                        </w:rPr>
                        <w:t>RAN2 understanding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: 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Th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e UE configured with a satellite ID list by MME is not prevented to camp on, attempt to access to and communicate with a satellite which is not included in the MME-configured satellite list</w:t>
                      </w:r>
                      <w:r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>.</w:t>
                      </w:r>
                    </w:p>
                    <w:p w14:paraId="08377608" w14:textId="05920AED" w:rsidR="00703B91" w:rsidRDefault="00703B91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</w:rPr>
        <w:t>SA2 would like to thank RAN2 for the LS. Please find the answers provide</w:t>
      </w:r>
      <w:r w:rsidR="00254098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below.</w:t>
      </w:r>
    </w:p>
    <w:p w14:paraId="7FA35FC3" w14:textId="48EA04B2" w:rsidR="00703B91" w:rsidRDefault="00703B91" w:rsidP="00D07B15">
      <w:pPr>
        <w:spacing w:after="120"/>
        <w:rPr>
          <w:rFonts w:ascii="Arial" w:eastAsia="DengXian" w:hAnsi="Arial"/>
          <w:b/>
          <w:bCs/>
          <w:lang w:val="en-US" w:eastAsia="zh-CN"/>
        </w:rPr>
      </w:pPr>
    </w:p>
    <w:p w14:paraId="073EE7A5" w14:textId="39EEAF44" w:rsidR="00D07B15" w:rsidRDefault="00703B91" w:rsidP="00D07B15">
      <w:pPr>
        <w:spacing w:after="120"/>
        <w:rPr>
          <w:rFonts w:ascii="Arial" w:eastAsia="DengXian" w:hAnsi="Arial"/>
          <w:lang w:val="en-US" w:eastAsia="zh-CN"/>
        </w:rPr>
      </w:pPr>
      <w:r w:rsidRPr="00703B91">
        <w:rPr>
          <w:rFonts w:ascii="Arial" w:eastAsia="DengXian" w:hAnsi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3CE1FC" wp14:editId="579F2584">
                <wp:simplePos x="0" y="0"/>
                <wp:positionH relativeFrom="column">
                  <wp:posOffset>48260</wp:posOffset>
                </wp:positionH>
                <wp:positionV relativeFrom="paragraph">
                  <wp:posOffset>678180</wp:posOffset>
                </wp:positionV>
                <wp:extent cx="5949950" cy="1358900"/>
                <wp:effectExtent l="0" t="0" r="12700" b="12700"/>
                <wp:wrapSquare wrapText="bothSides"/>
                <wp:docPr id="9771574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35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BDA6F" w14:textId="4A1FAC66" w:rsidR="00703B91" w:rsidRDefault="00703B91" w:rsidP="00703B91">
                            <w:pPr>
                              <w:widowControl w:val="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Also, RAN2 would like to respectfully ask the question below to SA2:</w:t>
                            </w:r>
                          </w:p>
                          <w:p w14:paraId="3A37C504" w14:textId="77777777" w:rsidR="00703B91" w:rsidRDefault="00703B91" w:rsidP="00703B91">
                            <w:pPr>
                              <w:widowControl w:val="0"/>
                              <w:spacing w:after="12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u w:val="single"/>
                                <w:lang w:val="en-US" w:eastAsia="zh-CN"/>
                                <w14:ligatures w14:val="standardContextual"/>
                              </w:rPr>
                              <w:t>Question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: If a satellite is included in the satellite list </w:t>
                            </w:r>
                            <w:proofErr w:type="spellStart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signalled</w:t>
                            </w:r>
                            <w:proofErr w:type="spellEnd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by the MME to a UE, does it mean one of the below options, or possibly other option(s):</w:t>
                            </w:r>
                          </w:p>
                          <w:p w14:paraId="088E0B7D" w14:textId="77777777" w:rsidR="00703B91" w:rsidRDefault="00703B91" w:rsidP="00703B91">
                            <w:pPr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the satellite has the UE context but does not necessarily </w:t>
                            </w:r>
                            <w:bookmarkStart w:id="0" w:name="_Hlk183607613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support store-and-forward operation</w:t>
                            </w:r>
                            <w:bookmarkEnd w:id="0"/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; or</w:t>
                            </w:r>
                          </w:p>
                          <w:p w14:paraId="4C5B7681" w14:textId="77777777" w:rsidR="00703B91" w:rsidRPr="00740BF7" w:rsidRDefault="00703B91" w:rsidP="00703B91">
                            <w:pPr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180"/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</w:pPr>
                            <w:r w:rsidRPr="00740BF7"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the satellite has the UE context and must support store-and-forward </w:t>
                            </w:r>
                            <w:r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operation </w:t>
                            </w:r>
                            <w:r w:rsidRPr="00740BF7"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>(but may be operating in normal IoT NTN mode or in store-and-forward mode when the satellite serves the area where the UE is located)?</w:t>
                            </w:r>
                            <w:r w:rsidRPr="00740BF7">
                              <w:rPr>
                                <w:rFonts w:ascii="Arial" w:eastAsia="DengXian" w:hAnsi="Arial" w:cs="Arial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</w:t>
                            </w:r>
                            <w:r w:rsidRPr="00740BF7">
                              <w:rPr>
                                <w:rFonts w:ascii="Arial" w:eastAsia="DengXian" w:hAnsi="Arial" w:cs="Arial" w:hint="eastAsia"/>
                                <w:kern w:val="2"/>
                                <w:lang w:val="en-US" w:eastAsia="zh-CN"/>
                                <w14:ligatures w14:val="standardContextual"/>
                              </w:rPr>
                              <w:t xml:space="preserve">  </w:t>
                            </w:r>
                          </w:p>
                          <w:p w14:paraId="0284C1C4" w14:textId="5C447A96" w:rsidR="00703B91" w:rsidRDefault="00703B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CE1FC" id="_x0000_s1027" type="#_x0000_t202" style="position:absolute;margin-left:3.8pt;margin-top:53.4pt;width:468.5pt;height:10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">
                <v:textbox>
                  <w:txbxContent>
                    <w:p w14:paraId="533BDA6F" w14:textId="4A1FAC66" w:rsidR="00703B91" w:rsidRDefault="00703B91" w:rsidP="00703B91">
                      <w:pPr>
                        <w:widowControl w:val="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Also, RAN2 would like to respectfully ask the question below to SA2:</w:t>
                      </w:r>
                    </w:p>
                    <w:p w14:paraId="3A37C504" w14:textId="77777777" w:rsidR="00703B91" w:rsidRDefault="00703B91" w:rsidP="00703B91">
                      <w:pPr>
                        <w:widowControl w:val="0"/>
                        <w:spacing w:after="12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u w:val="single"/>
                          <w:lang w:val="en-US" w:eastAsia="zh-CN"/>
                          <w14:ligatures w14:val="standardContextual"/>
                        </w:rPr>
                        <w:t>Question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: If a satellite is included in the satellite list signalled by the MME to a UE, does it mean one of the below options, or possibly other option(s):</w:t>
                      </w:r>
                    </w:p>
                    <w:p w14:paraId="088E0B7D" w14:textId="77777777" w:rsidR="00703B91" w:rsidRDefault="00703B91" w:rsidP="00703B91">
                      <w:pPr>
                        <w:widowControl w:val="0"/>
                        <w:numPr>
                          <w:ilvl w:val="0"/>
                          <w:numId w:val="20"/>
                        </w:numPr>
                        <w:spacing w:after="12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the satellite has the UE context but does not necessarily </w:t>
                      </w:r>
                      <w:bookmarkStart w:id="1" w:name="_Hlk183607613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support store-and-forward operation</w:t>
                      </w:r>
                      <w:bookmarkEnd w:id="1"/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; or</w:t>
                      </w:r>
                    </w:p>
                    <w:p w14:paraId="4C5B7681" w14:textId="77777777" w:rsidR="00703B91" w:rsidRPr="00740BF7" w:rsidRDefault="00703B91" w:rsidP="00703B91">
                      <w:pPr>
                        <w:widowControl w:val="0"/>
                        <w:numPr>
                          <w:ilvl w:val="0"/>
                          <w:numId w:val="20"/>
                        </w:numPr>
                        <w:spacing w:after="180"/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</w:pPr>
                      <w:r w:rsidRPr="00740BF7"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the satellite has the UE context and must support store-and-forward </w:t>
                      </w:r>
                      <w:r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operation </w:t>
                      </w:r>
                      <w:r w:rsidRPr="00740BF7"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>(but may be operating in normal IoT NTN mode or in store-and-forward mode when the satellite serves the area where the UE is located)?</w:t>
                      </w:r>
                      <w:r w:rsidRPr="00740BF7">
                        <w:rPr>
                          <w:rFonts w:ascii="Arial" w:eastAsia="DengXian" w:hAnsi="Arial" w:cs="Arial"/>
                          <w:kern w:val="2"/>
                          <w:lang w:val="en-US" w:eastAsia="zh-CN"/>
                          <w14:ligatures w14:val="standardContextual"/>
                        </w:rPr>
                        <w:t xml:space="preserve"> </w:t>
                      </w:r>
                      <w:r w:rsidRPr="00740BF7">
                        <w:rPr>
                          <w:rFonts w:ascii="Arial" w:eastAsia="DengXian" w:hAnsi="Arial" w:cs="Arial" w:hint="eastAsia"/>
                          <w:kern w:val="2"/>
                          <w:lang w:val="en-US" w:eastAsia="zh-CN"/>
                          <w14:ligatures w14:val="standardContextual"/>
                        </w:rPr>
                        <w:t xml:space="preserve">  </w:t>
                      </w:r>
                    </w:p>
                    <w:p w14:paraId="0284C1C4" w14:textId="5C447A96" w:rsidR="00703B91" w:rsidRDefault="00703B91"/>
                  </w:txbxContent>
                </v:textbox>
                <w10:wrap type="square"/>
              </v:shape>
            </w:pict>
          </mc:Fallback>
        </mc:AlternateContent>
      </w:r>
      <w:r w:rsidR="00171F0E" w:rsidRPr="00171F0E">
        <w:rPr>
          <w:rFonts w:ascii="Arial" w:eastAsia="DengXian" w:hAnsi="Arial"/>
          <w:b/>
          <w:bCs/>
          <w:lang w:val="en-US" w:eastAsia="zh-CN"/>
        </w:rPr>
        <w:t>[SA2 answer]</w:t>
      </w:r>
      <w:r w:rsidR="00171F0E">
        <w:rPr>
          <w:rFonts w:ascii="Arial" w:eastAsia="DengXian" w:hAnsi="Arial"/>
          <w:b/>
          <w:bCs/>
          <w:lang w:val="en-US" w:eastAsia="zh-CN"/>
        </w:rPr>
        <w:t xml:space="preserve"> </w:t>
      </w:r>
      <w:r w:rsidR="00171F0E">
        <w:rPr>
          <w:rFonts w:ascii="Arial" w:eastAsia="DengXian" w:hAnsi="Arial"/>
          <w:lang w:val="en-US" w:eastAsia="zh-CN"/>
        </w:rPr>
        <w:t xml:space="preserve">SA2 confirms the </w:t>
      </w:r>
      <w:r>
        <w:rPr>
          <w:rFonts w:ascii="Arial" w:eastAsia="DengXian" w:hAnsi="Arial"/>
          <w:lang w:val="en-US" w:eastAsia="zh-CN"/>
        </w:rPr>
        <w:t>above understanding is correct</w:t>
      </w:r>
      <w:r w:rsidR="00171F0E">
        <w:rPr>
          <w:rFonts w:ascii="Arial" w:eastAsia="DengXian" w:hAnsi="Arial"/>
          <w:lang w:val="en-US" w:eastAsia="zh-CN"/>
        </w:rPr>
        <w:t>.</w:t>
      </w:r>
      <w:r>
        <w:rPr>
          <w:rFonts w:ascii="Arial" w:eastAsia="DengXian" w:hAnsi="Arial"/>
          <w:lang w:val="en-US" w:eastAsia="zh-CN"/>
        </w:rPr>
        <w:t xml:space="preserve"> The satellite ID is only </w:t>
      </w:r>
      <w:r w:rsidR="007D12AA">
        <w:rPr>
          <w:rFonts w:ascii="Arial" w:eastAsia="DengXian" w:hAnsi="Arial"/>
          <w:lang w:val="en-US" w:eastAsia="zh-CN"/>
        </w:rPr>
        <w:t xml:space="preserve">a </w:t>
      </w:r>
      <w:r>
        <w:rPr>
          <w:rFonts w:ascii="Arial" w:eastAsia="DengXian" w:hAnsi="Arial"/>
          <w:lang w:val="en-US" w:eastAsia="zh-CN"/>
        </w:rPr>
        <w:t>recommendation for the UE to minimize reattempt</w:t>
      </w:r>
      <w:r w:rsidR="007D12AA">
        <w:rPr>
          <w:rFonts w:ascii="Arial" w:eastAsia="DengXian" w:hAnsi="Arial"/>
          <w:lang w:val="en-US" w:eastAsia="zh-CN"/>
        </w:rPr>
        <w:t>s</w:t>
      </w:r>
      <w:r>
        <w:rPr>
          <w:rFonts w:ascii="Arial" w:eastAsia="DengXian" w:hAnsi="Arial"/>
          <w:lang w:val="en-US" w:eastAsia="zh-CN"/>
        </w:rPr>
        <w:t xml:space="preserve"> and failures, but it doesn’t prevent the UE </w:t>
      </w:r>
      <w:r w:rsidR="007D12AA">
        <w:rPr>
          <w:rFonts w:ascii="Arial" w:eastAsia="DengXian" w:hAnsi="Arial"/>
          <w:lang w:val="en-US" w:eastAsia="zh-CN"/>
        </w:rPr>
        <w:t>from camping</w:t>
      </w:r>
      <w:r>
        <w:rPr>
          <w:rFonts w:ascii="Arial" w:eastAsia="DengXian" w:hAnsi="Arial"/>
          <w:lang w:val="en-US" w:eastAsia="zh-CN"/>
        </w:rPr>
        <w:t xml:space="preserve"> on different satellite</w:t>
      </w:r>
      <w:r w:rsidR="007D12AA">
        <w:rPr>
          <w:rFonts w:ascii="Arial" w:eastAsia="DengXian" w:hAnsi="Arial"/>
          <w:lang w:val="en-US" w:eastAsia="zh-CN"/>
        </w:rPr>
        <w:t>s</w:t>
      </w:r>
      <w:r>
        <w:rPr>
          <w:rFonts w:ascii="Arial" w:eastAsia="DengXian" w:hAnsi="Arial"/>
          <w:lang w:val="en-US" w:eastAsia="zh-CN"/>
        </w:rPr>
        <w:t xml:space="preserve"> other than </w:t>
      </w:r>
      <w:r w:rsidR="007D12AA">
        <w:rPr>
          <w:rFonts w:ascii="Arial" w:eastAsia="DengXian" w:hAnsi="Arial"/>
          <w:lang w:val="en-US" w:eastAsia="zh-CN"/>
        </w:rPr>
        <w:t xml:space="preserve">the </w:t>
      </w:r>
      <w:r>
        <w:rPr>
          <w:rFonts w:ascii="Arial" w:eastAsia="DengXian" w:hAnsi="Arial"/>
          <w:lang w:val="en-US" w:eastAsia="zh-CN"/>
        </w:rPr>
        <w:t>configured list.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60FA21F6" w14:textId="787BAD54" w:rsidR="00703B91" w:rsidRPr="00D07B15" w:rsidRDefault="00703B91" w:rsidP="00D07B15">
      <w:pPr>
        <w:spacing w:after="120"/>
        <w:rPr>
          <w:rFonts w:ascii="Arial" w:eastAsia="DengXian" w:hAnsi="Arial"/>
          <w:lang w:val="en-US" w:eastAsia="zh-CN"/>
        </w:rPr>
      </w:pPr>
    </w:p>
    <w:p w14:paraId="36C53F51" w14:textId="5BB12377" w:rsidR="00E27D26" w:rsidRPr="00EF1690" w:rsidRDefault="00171F0E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lastRenderedPageBreak/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="0062478A">
        <w:rPr>
          <w:rFonts w:ascii="Arial" w:eastAsia="DengXian" w:hAnsi="Arial"/>
          <w:lang w:val="en-US" w:eastAsia="zh-CN"/>
        </w:rPr>
        <w:t xml:space="preserve">The satellite ID list is formed </w:t>
      </w:r>
      <w:r w:rsidR="00855C36">
        <w:rPr>
          <w:rFonts w:ascii="Arial" w:eastAsia="DengXian" w:hAnsi="Arial"/>
          <w:lang w:val="en-US" w:eastAsia="zh-CN"/>
        </w:rPr>
        <w:t>based on</w:t>
      </w:r>
      <w:r w:rsidR="0062478A">
        <w:rPr>
          <w:rFonts w:ascii="Arial" w:eastAsia="DengXian" w:hAnsi="Arial"/>
          <w:lang w:val="en-US" w:eastAsia="zh-CN"/>
        </w:rPr>
        <w:t xml:space="preserve"> context synchronization. </w:t>
      </w:r>
      <w:r w:rsidR="00772E7A">
        <w:rPr>
          <w:rFonts w:ascii="Arial" w:eastAsia="DengXian" w:hAnsi="Arial"/>
          <w:lang w:val="en-US" w:eastAsia="zh-CN"/>
        </w:rPr>
        <w:t>i.e.</w:t>
      </w:r>
      <w:r w:rsidR="007D12AA">
        <w:rPr>
          <w:rFonts w:ascii="Arial" w:eastAsia="DengXian" w:hAnsi="Arial"/>
          <w:lang w:val="en-US" w:eastAsia="zh-CN"/>
        </w:rPr>
        <w:t>, only those satellites are listed</w:t>
      </w:r>
      <w:r w:rsidR="00772E7A">
        <w:rPr>
          <w:rFonts w:ascii="Arial" w:eastAsia="DengXian" w:hAnsi="Arial"/>
          <w:lang w:val="en-US" w:eastAsia="zh-CN"/>
        </w:rPr>
        <w:t xml:space="preserve"> where the UE context is available. </w:t>
      </w:r>
      <w:r w:rsidR="00855C36">
        <w:rPr>
          <w:rFonts w:ascii="Arial" w:eastAsia="DengXian" w:hAnsi="Arial"/>
          <w:lang w:val="en-US" w:eastAsia="zh-CN"/>
        </w:rPr>
        <w:t>However,</w:t>
      </w:r>
      <w:r w:rsidR="0062478A">
        <w:rPr>
          <w:rFonts w:ascii="Arial" w:eastAsia="DengXian" w:hAnsi="Arial"/>
          <w:lang w:val="en-US" w:eastAsia="zh-CN"/>
        </w:rPr>
        <w:t xml:space="preserve"> </w:t>
      </w:r>
      <w:r w:rsidR="00772E7A">
        <w:rPr>
          <w:rFonts w:ascii="Arial" w:eastAsia="DengXian" w:hAnsi="Arial"/>
          <w:lang w:val="en-US" w:eastAsia="zh-CN"/>
        </w:rPr>
        <w:t xml:space="preserve">a </w:t>
      </w:r>
      <w:r w:rsidR="0062478A">
        <w:rPr>
          <w:rFonts w:ascii="Arial" w:eastAsia="DengXian" w:hAnsi="Arial"/>
          <w:lang w:val="en-US" w:eastAsia="zh-CN"/>
        </w:rPr>
        <w:t>satellite listed may operate in S&amp;F or normal mode</w:t>
      </w:r>
      <w:r w:rsidR="00855C36">
        <w:rPr>
          <w:rFonts w:ascii="Arial" w:eastAsia="DengXian" w:hAnsi="Arial"/>
          <w:lang w:val="en-US" w:eastAsia="zh-CN"/>
        </w:rPr>
        <w:t>,</w:t>
      </w:r>
      <w:r w:rsidR="0062478A">
        <w:rPr>
          <w:rFonts w:ascii="Arial" w:eastAsia="DengXian" w:hAnsi="Arial"/>
          <w:lang w:val="en-US" w:eastAsia="zh-CN"/>
        </w:rPr>
        <w:t xml:space="preserve"> depending on </w:t>
      </w:r>
      <w:r w:rsidR="004A7CB0">
        <w:rPr>
          <w:rFonts w:ascii="Arial" w:eastAsia="DengXian" w:hAnsi="Arial"/>
          <w:lang w:val="en-US" w:eastAsia="zh-CN"/>
        </w:rPr>
        <w:t>the availability of</w:t>
      </w:r>
      <w:r w:rsidR="0062478A">
        <w:rPr>
          <w:rFonts w:ascii="Arial" w:eastAsia="DengXian" w:hAnsi="Arial"/>
          <w:lang w:val="en-US" w:eastAsia="zh-CN"/>
        </w:rPr>
        <w:t xml:space="preserve"> feeder link connectivity while serving the UE.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49A61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478A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33D8B41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 xml:space="preserve">SA2 asks </w:t>
      </w:r>
      <w:r w:rsidR="0062478A">
        <w:rPr>
          <w:rFonts w:ascii="Arial" w:hAnsi="Arial" w:cs="Arial"/>
        </w:rPr>
        <w:t>RAN2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4AFCAA" w14:textId="17170130" w:rsidR="0062478A" w:rsidRDefault="0062478A" w:rsidP="0062478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07-11 April 2025</w:t>
      </w:r>
      <w:r>
        <w:rPr>
          <w:rFonts w:ascii="Arial" w:hAnsi="Arial" w:cs="Arial"/>
          <w:bCs/>
        </w:rPr>
        <w:tab/>
        <w:t>Goteborg, Sweden</w:t>
      </w:r>
    </w:p>
    <w:p w14:paraId="2C1B6243" w14:textId="382F0F0A" w:rsidR="00821246" w:rsidRDefault="00821246" w:rsidP="0082124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May 2025</w:t>
      </w:r>
      <w:r>
        <w:rPr>
          <w:rFonts w:ascii="Arial" w:hAnsi="Arial" w:cs="Arial"/>
          <w:bCs/>
        </w:rPr>
        <w:tab/>
      </w:r>
      <w:r w:rsidRPr="00821246">
        <w:rPr>
          <w:rFonts w:ascii="Arial" w:hAnsi="Arial" w:cs="Arial"/>
          <w:bCs/>
        </w:rPr>
        <w:t>Fukuoka, J</w:t>
      </w:r>
      <w:r>
        <w:rPr>
          <w:rFonts w:ascii="Arial" w:hAnsi="Arial" w:cs="Arial"/>
          <w:bCs/>
        </w:rPr>
        <w:t>apan</w:t>
      </w:r>
    </w:p>
    <w:p w14:paraId="126CB019" w14:textId="77777777" w:rsidR="0062478A" w:rsidRDefault="0062478A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9"/>
  </w:num>
  <w:num w:numId="2" w16cid:durableId="1905143594">
    <w:abstractNumId w:val="17"/>
  </w:num>
  <w:num w:numId="3" w16cid:durableId="341010575">
    <w:abstractNumId w:val="14"/>
  </w:num>
  <w:num w:numId="4" w16cid:durableId="169369274">
    <w:abstractNumId w:val="13"/>
  </w:num>
  <w:num w:numId="5" w16cid:durableId="1070035469">
    <w:abstractNumId w:val="11"/>
  </w:num>
  <w:num w:numId="6" w16cid:durableId="542668412">
    <w:abstractNumId w:val="9"/>
  </w:num>
  <w:num w:numId="7" w16cid:durableId="982999954">
    <w:abstractNumId w:val="8"/>
  </w:num>
  <w:num w:numId="8" w16cid:durableId="379600654">
    <w:abstractNumId w:val="7"/>
  </w:num>
  <w:num w:numId="9" w16cid:durableId="1278952187">
    <w:abstractNumId w:val="6"/>
  </w:num>
  <w:num w:numId="10" w16cid:durableId="1742174619">
    <w:abstractNumId w:val="10"/>
  </w:num>
  <w:num w:numId="11" w16cid:durableId="213005616">
    <w:abstractNumId w:val="5"/>
  </w:num>
  <w:num w:numId="12" w16cid:durableId="1094521395">
    <w:abstractNumId w:val="4"/>
  </w:num>
  <w:num w:numId="13" w16cid:durableId="1442188344">
    <w:abstractNumId w:val="3"/>
  </w:num>
  <w:num w:numId="14" w16cid:durableId="2046251974">
    <w:abstractNumId w:val="2"/>
  </w:num>
  <w:num w:numId="15" w16cid:durableId="160630959">
    <w:abstractNumId w:val="18"/>
  </w:num>
  <w:num w:numId="16" w16cid:durableId="1619986636">
    <w:abstractNumId w:val="12"/>
  </w:num>
  <w:num w:numId="17" w16cid:durableId="680471839">
    <w:abstractNumId w:val="15"/>
  </w:num>
  <w:num w:numId="18" w16cid:durableId="195238989">
    <w:abstractNumId w:val="16"/>
  </w:num>
  <w:num w:numId="19" w16cid:durableId="2087915917">
    <w:abstractNumId w:val="1"/>
  </w:num>
  <w:num w:numId="20" w16cid:durableId="13226130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mwrAUA3nxIqC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083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4098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77C49"/>
    <w:rsid w:val="00381387"/>
    <w:rsid w:val="003856A3"/>
    <w:rsid w:val="00387EBE"/>
    <w:rsid w:val="003A2DAF"/>
    <w:rsid w:val="003A4C02"/>
    <w:rsid w:val="003C280F"/>
    <w:rsid w:val="003C2950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4321A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23DC"/>
    <w:rsid w:val="00484EE1"/>
    <w:rsid w:val="0049341F"/>
    <w:rsid w:val="00493DB4"/>
    <w:rsid w:val="004A31B6"/>
    <w:rsid w:val="004A4AD5"/>
    <w:rsid w:val="004A7CB0"/>
    <w:rsid w:val="004B5E3F"/>
    <w:rsid w:val="004C3C1E"/>
    <w:rsid w:val="004D6C05"/>
    <w:rsid w:val="004E592D"/>
    <w:rsid w:val="004E7F6A"/>
    <w:rsid w:val="004F1B7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05C5"/>
    <w:rsid w:val="00612C41"/>
    <w:rsid w:val="0062301C"/>
    <w:rsid w:val="0062478A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97F32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AD1"/>
    <w:rsid w:val="00703B91"/>
    <w:rsid w:val="00704118"/>
    <w:rsid w:val="00706B29"/>
    <w:rsid w:val="007114BF"/>
    <w:rsid w:val="00720A76"/>
    <w:rsid w:val="00726FC3"/>
    <w:rsid w:val="007315D8"/>
    <w:rsid w:val="00735249"/>
    <w:rsid w:val="00741C17"/>
    <w:rsid w:val="007423E4"/>
    <w:rsid w:val="00742EA8"/>
    <w:rsid w:val="0074309D"/>
    <w:rsid w:val="00743433"/>
    <w:rsid w:val="00752AD3"/>
    <w:rsid w:val="007577DC"/>
    <w:rsid w:val="007612B2"/>
    <w:rsid w:val="00761B11"/>
    <w:rsid w:val="00772E7A"/>
    <w:rsid w:val="007850F6"/>
    <w:rsid w:val="00787DEC"/>
    <w:rsid w:val="0079169F"/>
    <w:rsid w:val="00793AA8"/>
    <w:rsid w:val="00796021"/>
    <w:rsid w:val="007A1FE0"/>
    <w:rsid w:val="007B1641"/>
    <w:rsid w:val="007C33CA"/>
    <w:rsid w:val="007D12AA"/>
    <w:rsid w:val="007E0224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1246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C36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11D0"/>
    <w:rsid w:val="008C5A45"/>
    <w:rsid w:val="008D0E9A"/>
    <w:rsid w:val="008E19A5"/>
    <w:rsid w:val="008F2FF6"/>
    <w:rsid w:val="00901C74"/>
    <w:rsid w:val="00902BBB"/>
    <w:rsid w:val="00902C85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4855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36D8"/>
    <w:rsid w:val="00AD7C4E"/>
    <w:rsid w:val="00AE1BD2"/>
    <w:rsid w:val="00AE500E"/>
    <w:rsid w:val="00AF5D18"/>
    <w:rsid w:val="00B050F4"/>
    <w:rsid w:val="00B060B9"/>
    <w:rsid w:val="00B111AC"/>
    <w:rsid w:val="00B11FCB"/>
    <w:rsid w:val="00B17189"/>
    <w:rsid w:val="00B31FE9"/>
    <w:rsid w:val="00B33565"/>
    <w:rsid w:val="00B33FE3"/>
    <w:rsid w:val="00B50041"/>
    <w:rsid w:val="00B51FDA"/>
    <w:rsid w:val="00B56531"/>
    <w:rsid w:val="00B74B4C"/>
    <w:rsid w:val="00B81AA1"/>
    <w:rsid w:val="00B879D9"/>
    <w:rsid w:val="00BA29CD"/>
    <w:rsid w:val="00BA65AC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13EA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007E7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3FE6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5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5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RBI5PAMIO524-1616901215-36918</_dlc_DocId>
    <_dlc_DocIdUrl xmlns="71c5aaf6-e6ce-465b-b873-5148d2a4c105">
      <Url>https://nokia.sharepoint.com/sites/gxp/_layouts/15/DocIdRedir.aspx?ID=RBI5PAMIO524-1616901215-36918</Url>
      <Description>RBI5PAMIO524-1616901215-36918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purl.org/dc/dcmitype/"/>
    <ds:schemaRef ds:uri="71c5aaf6-e6ce-465b-b873-5148d2a4c105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Nokia_SA2-167</cp:lastModifiedBy>
  <cp:revision>7</cp:revision>
  <cp:lastPrinted>2002-04-23T08:10:00Z</cp:lastPrinted>
  <dcterms:created xsi:type="dcterms:W3CDTF">2025-01-14T05:27:00Z</dcterms:created>
  <dcterms:modified xsi:type="dcterms:W3CDTF">2025-02-10T07:32:00Z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33024cef-8b85-4aea-a6af-0c975db1657c</vt:lpwstr>
  </property>
  <property fmtid="{D5CDD505-2E9C-101B-9397-08002B2CF9AE}" pid="11" name="MediaServiceImageTags">
    <vt:lpwstr/>
  </property>
</Properties>
</file>